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4DF" w:rsidRDefault="005049C4">
      <w:pPr>
        <w:spacing w:line="360" w:lineRule="auto"/>
        <w:jc w:val="center"/>
        <w:rPr>
          <w:rFonts w:ascii="黑体" w:eastAsia="黑体" w:hAnsi="黑体"/>
          <w:b/>
          <w:sz w:val="36"/>
          <w:szCs w:val="36"/>
        </w:rPr>
      </w:pPr>
      <w:r>
        <w:rPr>
          <w:rFonts w:ascii="黑体" w:eastAsia="黑体" w:hAnsi="黑体" w:hint="eastAsia"/>
          <w:b/>
          <w:sz w:val="36"/>
          <w:szCs w:val="36"/>
        </w:rPr>
        <w:t>正大天晴药业集团股份有限公司</w:t>
      </w:r>
    </w:p>
    <w:p w:rsidR="000934DF" w:rsidRDefault="005049C4">
      <w:pPr>
        <w:spacing w:line="360" w:lineRule="auto"/>
        <w:jc w:val="center"/>
        <w:rPr>
          <w:rFonts w:ascii="黑体" w:eastAsia="黑体" w:hAnsi="黑体"/>
          <w:b/>
          <w:sz w:val="48"/>
          <w:szCs w:val="48"/>
        </w:rPr>
      </w:pPr>
      <w:r>
        <w:rPr>
          <w:rFonts w:ascii="黑体" w:eastAsia="黑体" w:hAnsi="黑体" w:hint="eastAsia"/>
          <w:b/>
          <w:sz w:val="36"/>
          <w:szCs w:val="36"/>
        </w:rPr>
        <w:t>202</w:t>
      </w:r>
      <w:r>
        <w:rPr>
          <w:rFonts w:ascii="黑体" w:eastAsia="黑体" w:hAnsi="黑体"/>
          <w:b/>
          <w:sz w:val="36"/>
          <w:szCs w:val="36"/>
        </w:rPr>
        <w:t>1</w:t>
      </w:r>
      <w:r>
        <w:rPr>
          <w:rFonts w:ascii="黑体" w:eastAsia="黑体" w:hAnsi="黑体" w:hint="eastAsia"/>
          <w:b/>
          <w:sz w:val="36"/>
          <w:szCs w:val="36"/>
        </w:rPr>
        <w:t>届校园招聘简章</w:t>
      </w:r>
    </w:p>
    <w:p w:rsidR="000934DF" w:rsidRDefault="005049C4">
      <w:pPr>
        <w:rPr>
          <w:rFonts w:ascii="黑体" w:eastAsia="黑体" w:hAnsi="黑体"/>
          <w:b/>
          <w:sz w:val="28"/>
          <w:szCs w:val="28"/>
        </w:rPr>
      </w:pPr>
      <w:r>
        <w:rPr>
          <w:rFonts w:ascii="黑体" w:eastAsia="黑体" w:hAnsi="黑体" w:hint="eastAsia"/>
          <w:b/>
          <w:sz w:val="28"/>
          <w:szCs w:val="28"/>
        </w:rPr>
        <w:t>一、企业简介</w:t>
      </w:r>
    </w:p>
    <w:p w:rsidR="000934DF" w:rsidRDefault="005049C4">
      <w:pPr>
        <w:pStyle w:val="a6"/>
        <w:shd w:val="clear" w:color="auto" w:fill="FFFFFF"/>
        <w:spacing w:before="0" w:beforeAutospacing="0" w:after="0" w:afterAutospacing="0"/>
        <w:ind w:firstLineChars="200" w:firstLine="600"/>
        <w:rPr>
          <w:rFonts w:ascii="仿宋" w:eastAsia="仿宋" w:hAnsi="仿宋"/>
          <w:sz w:val="30"/>
          <w:szCs w:val="30"/>
        </w:rPr>
      </w:pPr>
      <w:r>
        <w:rPr>
          <w:rFonts w:ascii="仿宋" w:eastAsia="仿宋" w:hAnsi="仿宋" w:hint="eastAsia"/>
          <w:sz w:val="30"/>
          <w:szCs w:val="30"/>
        </w:rPr>
        <w:t>正大天晴药业集团是一家从事医药创新和高品质药品的研发、生产与销售的创新型医药集团，致力于为患者提供更佳的健康解决方案和优质可负担的医药资源，是国内知名的肝病、抗肿瘤药物研发和生产基地，为国家重点高新技术企业、国家火炬计划连云港新医药产业基地重点骨干企业，位列2019年度中国医药工业百强企业榜第16位，为2020年中国医药研发产品线最佳工业企业（由中国医药工业信息中心评选发布）。</w:t>
      </w:r>
    </w:p>
    <w:p w:rsidR="000934DF" w:rsidRDefault="005049C4">
      <w:pPr>
        <w:pStyle w:val="a6"/>
        <w:shd w:val="clear" w:color="auto" w:fill="FFFFFF"/>
        <w:spacing w:before="0" w:beforeAutospacing="0" w:after="0" w:afterAutospacing="0"/>
        <w:ind w:firstLineChars="200" w:firstLine="600"/>
        <w:rPr>
          <w:rFonts w:ascii="仿宋" w:eastAsia="仿宋" w:hAnsi="仿宋"/>
          <w:sz w:val="30"/>
          <w:szCs w:val="30"/>
        </w:rPr>
      </w:pPr>
      <w:r>
        <w:rPr>
          <w:rFonts w:ascii="仿宋" w:eastAsia="仿宋" w:hAnsi="仿宋" w:hint="eastAsia"/>
          <w:sz w:val="30"/>
          <w:szCs w:val="30"/>
        </w:rPr>
        <w:t>正大天晴始终将科技创新作为企业发展的重要战略，是国内创新药物研究投入较多的药企之一。正大天晴以研究院为创新载体，“江苏省新型肝病药物工程技术研究中心”、“博士后科研工作站”、“国家企业技术中心”、“江苏省抗病毒靶向药物研究重点实验室”等高层次研发平台相继建立，自主创新能力不断增强。</w:t>
      </w:r>
    </w:p>
    <w:p w:rsidR="000934DF" w:rsidRDefault="005049C4">
      <w:pPr>
        <w:pStyle w:val="a6"/>
        <w:shd w:val="clear" w:color="auto" w:fill="FFFFFF"/>
        <w:spacing w:before="0" w:beforeAutospacing="0" w:after="0" w:afterAutospacing="0"/>
        <w:ind w:firstLineChars="200" w:firstLine="600"/>
        <w:rPr>
          <w:rFonts w:ascii="仿宋" w:eastAsia="仿宋" w:hAnsi="仿宋"/>
          <w:sz w:val="30"/>
          <w:szCs w:val="30"/>
        </w:rPr>
      </w:pPr>
      <w:r>
        <w:rPr>
          <w:rFonts w:ascii="仿宋" w:eastAsia="仿宋" w:hAnsi="仿宋" w:hint="eastAsia"/>
          <w:sz w:val="30"/>
          <w:szCs w:val="30"/>
        </w:rPr>
        <w:t>随着企业的发展和研发能力的提升，正大天晴的年研发投入占销售收入的10-12%。目前，公司在研项目250多项，其中创新药70多项，生物药30多项，拥有有效国内发明专利400多项，有效海外发明专利100多项，形成了“上市一代,储备一代,研发一代”的良性格局。</w:t>
      </w:r>
    </w:p>
    <w:p w:rsidR="000934DF" w:rsidRDefault="005049C4">
      <w:pPr>
        <w:pStyle w:val="a6"/>
        <w:shd w:val="clear" w:color="auto" w:fill="FFFFFF"/>
        <w:spacing w:before="0" w:beforeAutospacing="0" w:after="0" w:afterAutospacing="0"/>
        <w:ind w:firstLineChars="200" w:firstLine="600"/>
        <w:jc w:val="both"/>
      </w:pPr>
      <w:r>
        <w:rPr>
          <w:rFonts w:ascii="仿宋" w:eastAsia="仿宋" w:hAnsi="仿宋" w:hint="eastAsia"/>
          <w:sz w:val="30"/>
          <w:szCs w:val="30"/>
        </w:rPr>
        <w:lastRenderedPageBreak/>
        <w:t>正大天晴在江苏南京、连云港建有五个研发生产基地。制剂基地获得全国首张新版GMP证书，多条生产线通过欧盟cGMP、美国FDA认证。这些证书的取得标志着企业药品生产质量和管理水平走在了全国医药行业前列。</w:t>
      </w:r>
      <w:r>
        <w:t xml:space="preserve"> </w:t>
      </w:r>
    </w:p>
    <w:p w:rsidR="000934DF" w:rsidRDefault="005049C4">
      <w:pPr>
        <w:pStyle w:val="a6"/>
        <w:shd w:val="clear" w:color="auto" w:fill="FFFFFF"/>
        <w:spacing w:before="0" w:beforeAutospacing="0" w:after="0" w:afterAutospacing="0"/>
        <w:ind w:firstLineChars="200" w:firstLine="600"/>
        <w:jc w:val="both"/>
        <w:rPr>
          <w:rFonts w:ascii="仿宋" w:eastAsia="仿宋" w:hAnsi="仿宋"/>
          <w:sz w:val="30"/>
          <w:szCs w:val="30"/>
        </w:rPr>
      </w:pPr>
      <w:r>
        <w:rPr>
          <w:rFonts w:ascii="仿宋" w:eastAsia="仿宋" w:hAnsi="仿宋" w:hint="eastAsia"/>
          <w:sz w:val="30"/>
          <w:szCs w:val="30"/>
        </w:rPr>
        <w:t>正大天晴以向社会提供创新和高品质产品为初心，形成抗肿瘤、肝病、呼吸、感染、内分泌和心脑血管6大产品集群，20多个年销售过亿元的产品形成“亿元产品群”。除肝病领域外，在抗肿瘤领域，形成以一类新药安罗替尼（福可维）为代表的领先的抗癌创新药产品线。血液肿瘤领域产品线丰富，地西他滨（首仿）、伊马替尼（首仿）、达沙替尼（首仿）、硼替佐米、来那度胺等已上市，实体瘤产品阿比特龙、吉非替尼等已上市；呼吸、抗生素等领域也将是未来发展的重点方向；生物药方面，拥有较完善的生物药技术平台，产品线布局丰富，利妥昔单抗注射液、贝伐珠单抗注射液、阿达木单抗注射液、注射用曲妥珠单抗进入三期临床研究。</w:t>
      </w:r>
    </w:p>
    <w:p w:rsidR="000934DF" w:rsidRDefault="005049C4">
      <w:pPr>
        <w:pStyle w:val="a6"/>
        <w:shd w:val="clear" w:color="auto" w:fill="FFFFFF"/>
        <w:spacing w:before="0" w:beforeAutospacing="0" w:after="0" w:afterAutospacing="0"/>
        <w:ind w:firstLineChars="200" w:firstLine="600"/>
        <w:jc w:val="both"/>
        <w:rPr>
          <w:rFonts w:ascii="仿宋" w:eastAsia="仿宋" w:hAnsi="仿宋"/>
          <w:sz w:val="30"/>
          <w:szCs w:val="30"/>
        </w:rPr>
      </w:pPr>
      <w:r>
        <w:rPr>
          <w:rFonts w:ascii="仿宋" w:eastAsia="仿宋" w:hAnsi="仿宋" w:hint="eastAsia"/>
          <w:sz w:val="30"/>
          <w:szCs w:val="30"/>
        </w:rPr>
        <w:t>未来发展中，正大天晴将继续保持肝健康领域的龙头地位，以乙肝治愈为目标，为2030年全球清除病毒性肝炎威胁贡献力量；重点打造肿瘤、呼吸等领域创新产品线，推动企业从“肝病为主”向“两核多强”转变，从化学药向“化学药与生物药并举”转变，从“创仿结合”向“创新主导”转变，从“聚焦国内”向“国内外协调发展”转变，同时创新技术路径和商业模式，带动</w:t>
      </w:r>
      <w:r>
        <w:rPr>
          <w:rFonts w:ascii="仿宋" w:eastAsia="仿宋" w:hAnsi="仿宋" w:hint="eastAsia"/>
          <w:sz w:val="30"/>
          <w:szCs w:val="30"/>
        </w:rPr>
        <w:lastRenderedPageBreak/>
        <w:t>产品研发、生产技术和营销模式的转型升级，向创新型、国际化的医药集团稳步迈进。</w:t>
      </w:r>
    </w:p>
    <w:p w:rsidR="000934DF" w:rsidRDefault="000934DF">
      <w:pPr>
        <w:pStyle w:val="a6"/>
        <w:shd w:val="clear" w:color="auto" w:fill="FFFFFF"/>
        <w:spacing w:before="0" w:beforeAutospacing="0" w:after="0" w:afterAutospacing="0"/>
        <w:ind w:firstLineChars="200" w:firstLine="600"/>
        <w:rPr>
          <w:rFonts w:ascii="仿宋" w:eastAsia="仿宋" w:hAnsi="仿宋"/>
          <w:sz w:val="30"/>
          <w:szCs w:val="30"/>
        </w:rPr>
      </w:pPr>
    </w:p>
    <w:p w:rsidR="000934DF" w:rsidRDefault="00AD73AB">
      <w:pPr>
        <w:pStyle w:val="11"/>
        <w:ind w:firstLineChars="0" w:firstLine="0"/>
        <w:rPr>
          <w:rFonts w:ascii="黑体" w:eastAsia="黑体" w:hAnsi="黑体"/>
          <w:b/>
          <w:sz w:val="28"/>
          <w:szCs w:val="28"/>
        </w:rPr>
      </w:pPr>
      <w:r w:rsidRPr="00AD73AB">
        <w:rPr>
          <w:rFonts w:ascii="黑体" w:eastAsia="黑体" w:hAnsi="黑体"/>
          <w:b/>
          <w:noProof/>
          <w:sz w:val="28"/>
          <w:szCs w:val="28"/>
        </w:rPr>
        <w:drawing>
          <wp:inline distT="0" distB="0" distL="0" distR="0">
            <wp:extent cx="5274310" cy="2839022"/>
            <wp:effectExtent l="0" t="0" r="2540" b="0"/>
            <wp:docPr id="3" name="图片 3" descr="C:\Users\8106178\AppData\Local\Temp\Rar$DRa15388.4397\正大天晴图片合集\2021年校招主KV-确认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06178\AppData\Local\Temp\Rar$DRa15388.4397\正大天晴图片合集\2021年校招主KV-确认版.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839022"/>
                    </a:xfrm>
                    <a:prstGeom prst="rect">
                      <a:avLst/>
                    </a:prstGeom>
                    <a:noFill/>
                    <a:ln>
                      <a:noFill/>
                    </a:ln>
                  </pic:spPr>
                </pic:pic>
              </a:graphicData>
            </a:graphic>
          </wp:inline>
        </w:drawing>
      </w:r>
    </w:p>
    <w:p w:rsidR="000934DF" w:rsidRDefault="000934DF">
      <w:pPr>
        <w:pStyle w:val="11"/>
        <w:ind w:firstLineChars="0" w:firstLine="0"/>
        <w:rPr>
          <w:rFonts w:ascii="黑体" w:eastAsia="黑体" w:hAnsi="黑体"/>
          <w:b/>
          <w:sz w:val="28"/>
          <w:szCs w:val="28"/>
        </w:rPr>
      </w:pPr>
    </w:p>
    <w:p w:rsidR="000934DF" w:rsidRDefault="005049C4">
      <w:pPr>
        <w:numPr>
          <w:ilvl w:val="0"/>
          <w:numId w:val="1"/>
        </w:numPr>
        <w:spacing w:line="360" w:lineRule="auto"/>
        <w:jc w:val="left"/>
        <w:rPr>
          <w:rFonts w:ascii="黑体" w:eastAsia="黑体" w:hAnsi="黑体"/>
          <w:b/>
          <w:sz w:val="28"/>
          <w:szCs w:val="28"/>
        </w:rPr>
      </w:pPr>
      <w:bookmarkStart w:id="0" w:name="OLE_LINK1"/>
      <w:r>
        <w:rPr>
          <w:rFonts w:ascii="黑体" w:eastAsia="黑体" w:hAnsi="黑体" w:hint="eastAsia"/>
          <w:b/>
          <w:sz w:val="28"/>
          <w:szCs w:val="28"/>
        </w:rPr>
        <w:t>需求岗位</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1839"/>
        <w:gridCol w:w="769"/>
        <w:gridCol w:w="1641"/>
        <w:gridCol w:w="3462"/>
        <w:gridCol w:w="1417"/>
      </w:tblGrid>
      <w:tr w:rsidR="000934DF">
        <w:trPr>
          <w:trHeight w:val="469"/>
          <w:jc w:val="center"/>
        </w:trPr>
        <w:tc>
          <w:tcPr>
            <w:tcW w:w="1008"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b/>
                <w:sz w:val="22"/>
                <w:szCs w:val="22"/>
              </w:rPr>
            </w:pPr>
            <w:r>
              <w:rPr>
                <w:rFonts w:ascii="仿宋" w:eastAsia="仿宋" w:hAnsi="仿宋" w:cs="微软雅黑" w:hint="eastAsia"/>
                <w:b/>
                <w:kern w:val="0"/>
                <w:sz w:val="22"/>
                <w:szCs w:val="22"/>
                <w:lang w:bidi="ar"/>
              </w:rPr>
              <w:t>系统</w:t>
            </w: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b/>
                <w:sz w:val="22"/>
                <w:szCs w:val="22"/>
              </w:rPr>
            </w:pPr>
            <w:r>
              <w:rPr>
                <w:rFonts w:ascii="仿宋" w:eastAsia="仿宋" w:hAnsi="仿宋" w:cs="微软雅黑" w:hint="eastAsia"/>
                <w:b/>
                <w:kern w:val="0"/>
                <w:sz w:val="22"/>
                <w:szCs w:val="22"/>
                <w:lang w:bidi="ar"/>
              </w:rPr>
              <w:t>岗位</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b/>
                <w:sz w:val="22"/>
                <w:szCs w:val="22"/>
              </w:rPr>
            </w:pPr>
            <w:r>
              <w:rPr>
                <w:rFonts w:ascii="仿宋" w:eastAsia="仿宋" w:hAnsi="仿宋" w:cs="微软雅黑" w:hint="eastAsia"/>
                <w:b/>
                <w:kern w:val="0"/>
                <w:sz w:val="22"/>
                <w:szCs w:val="22"/>
                <w:lang w:bidi="ar"/>
              </w:rPr>
              <w:t>人数</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b/>
                <w:sz w:val="22"/>
                <w:szCs w:val="22"/>
              </w:rPr>
            </w:pPr>
            <w:r>
              <w:rPr>
                <w:rFonts w:ascii="仿宋" w:eastAsia="仿宋" w:hAnsi="仿宋" w:cs="微软雅黑" w:hint="eastAsia"/>
                <w:b/>
                <w:kern w:val="0"/>
                <w:sz w:val="22"/>
                <w:szCs w:val="22"/>
                <w:lang w:bidi="ar"/>
              </w:rPr>
              <w:t>学历</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b/>
                <w:sz w:val="22"/>
                <w:szCs w:val="22"/>
              </w:rPr>
            </w:pPr>
            <w:r>
              <w:rPr>
                <w:rFonts w:ascii="仿宋" w:eastAsia="仿宋" w:hAnsi="仿宋" w:cs="微软雅黑" w:hint="eastAsia"/>
                <w:b/>
                <w:kern w:val="0"/>
                <w:sz w:val="22"/>
                <w:szCs w:val="22"/>
                <w:lang w:bidi="ar"/>
              </w:rPr>
              <w:t>专业</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b/>
                <w:sz w:val="22"/>
                <w:szCs w:val="22"/>
              </w:rPr>
            </w:pPr>
            <w:r>
              <w:rPr>
                <w:rFonts w:ascii="仿宋" w:eastAsia="仿宋" w:hAnsi="仿宋" w:cs="微软雅黑" w:hint="eastAsia"/>
                <w:b/>
                <w:kern w:val="0"/>
                <w:sz w:val="22"/>
                <w:szCs w:val="22"/>
                <w:lang w:bidi="ar"/>
              </w:rPr>
              <w:t>工作地</w:t>
            </w:r>
          </w:p>
        </w:tc>
      </w:tr>
      <w:tr w:rsidR="000934DF">
        <w:trPr>
          <w:trHeight w:val="579"/>
          <w:jc w:val="center"/>
        </w:trPr>
        <w:tc>
          <w:tcPr>
            <w:tcW w:w="1008" w:type="dxa"/>
            <w:vMerge w:val="restart"/>
            <w:shd w:val="clear" w:color="auto" w:fill="auto"/>
            <w:tcMar>
              <w:top w:w="15" w:type="dxa"/>
              <w:left w:w="15" w:type="dxa"/>
              <w:right w:w="15" w:type="dxa"/>
            </w:tcMar>
            <w:vAlign w:val="center"/>
          </w:tcPr>
          <w:p w:rsidR="000934DF" w:rsidRDefault="005049C4">
            <w:pPr>
              <w:jc w:val="center"/>
              <w:textAlignment w:val="center"/>
              <w:rPr>
                <w:rFonts w:ascii="仿宋" w:eastAsia="仿宋" w:hAnsi="仿宋" w:cs="微软雅黑"/>
                <w:kern w:val="0"/>
                <w:sz w:val="24"/>
                <w:lang w:bidi="ar"/>
              </w:rPr>
            </w:pPr>
            <w:r>
              <w:rPr>
                <w:rFonts w:ascii="仿宋" w:eastAsia="仿宋" w:hAnsi="仿宋" w:cs="微软雅黑" w:hint="eastAsia"/>
                <w:kern w:val="0"/>
                <w:sz w:val="24"/>
                <w:lang w:bidi="ar"/>
              </w:rPr>
              <w:t>研发系统</w:t>
            </w: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s="微软雅黑" w:hint="eastAsia"/>
                <w:kern w:val="0"/>
                <w:sz w:val="24"/>
                <w:lang w:bidi="ar"/>
              </w:rPr>
              <w:t>研发QA</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s="微软雅黑"/>
                <w:kern w:val="0"/>
                <w:sz w:val="24"/>
                <w:lang w:bidi="ar"/>
              </w:rPr>
              <w:t>1</w:t>
            </w:r>
          </w:p>
        </w:tc>
        <w:tc>
          <w:tcPr>
            <w:tcW w:w="1641" w:type="dxa"/>
            <w:shd w:val="clear" w:color="auto" w:fill="auto"/>
            <w:tcMar>
              <w:top w:w="15" w:type="dxa"/>
              <w:left w:w="15" w:type="dxa"/>
              <w:right w:w="15" w:type="dxa"/>
            </w:tcMar>
            <w:vAlign w:val="center"/>
          </w:tcPr>
          <w:p w:rsidR="000934DF" w:rsidRDefault="005049C4">
            <w:pPr>
              <w:widowControl/>
              <w:jc w:val="center"/>
              <w:rPr>
                <w:rFonts w:ascii="仿宋" w:eastAsia="仿宋" w:hAnsi="仿宋"/>
                <w:color w:val="000000"/>
                <w:kern w:val="0"/>
                <w:sz w:val="24"/>
              </w:rPr>
            </w:pPr>
            <w:r>
              <w:rPr>
                <w:rFonts w:ascii="仿宋" w:eastAsia="仿宋" w:hAnsi="仿宋" w:hint="eastAsia"/>
                <w:color w:val="000000"/>
                <w:sz w:val="24"/>
              </w:rPr>
              <w:t>本科及以上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s="微软雅黑" w:hint="eastAsia"/>
                <w:kern w:val="0"/>
                <w:sz w:val="24"/>
                <w:lang w:bidi="ar"/>
              </w:rPr>
              <w:t>药学相关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s="微软雅黑" w:hint="eastAsia"/>
                <w:kern w:val="0"/>
                <w:sz w:val="24"/>
                <w:lang w:bidi="ar"/>
              </w:rPr>
              <w:t>连云港</w:t>
            </w:r>
          </w:p>
        </w:tc>
      </w:tr>
      <w:tr w:rsidR="000934DF">
        <w:trPr>
          <w:trHeight w:val="607"/>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项目调研员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olor w:val="000000"/>
                <w:sz w:val="24"/>
              </w:rPr>
              <w:t>2</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硕士及以上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药学、制剂、药理、生物相关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w:t>
            </w:r>
          </w:p>
        </w:tc>
      </w:tr>
      <w:tr w:rsidR="000934DF">
        <w:trPr>
          <w:trHeight w:val="543"/>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注册专员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olor w:val="000000"/>
                <w:sz w:val="24"/>
              </w:rPr>
              <w:t>1</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硕士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药学相关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南京/连云港</w:t>
            </w:r>
          </w:p>
        </w:tc>
      </w:tr>
      <w:tr w:rsidR="000934DF">
        <w:trPr>
          <w:trHeight w:val="619"/>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textAlignment w:val="center"/>
              <w:rPr>
                <w:rFonts w:ascii="仿宋" w:eastAsia="仿宋" w:hAnsi="仿宋" w:cs="微软雅黑"/>
                <w:kern w:val="0"/>
                <w:sz w:val="24"/>
                <w:lang w:bidi="ar"/>
              </w:rPr>
            </w:pPr>
            <w:r>
              <w:rPr>
                <w:rFonts w:ascii="仿宋" w:eastAsia="仿宋" w:hAnsi="仿宋" w:cs="微软雅黑" w:hint="eastAsia"/>
                <w:kern w:val="0"/>
                <w:sz w:val="24"/>
                <w:lang w:bidi="ar"/>
              </w:rPr>
              <w:t>影像数据管理员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1</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本科及以上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不限</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w:t>
            </w:r>
          </w:p>
        </w:tc>
      </w:tr>
      <w:tr w:rsidR="000934DF">
        <w:trPr>
          <w:trHeight w:val="545"/>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合成/分析研究员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olor w:val="000000"/>
                <w:sz w:val="24"/>
              </w:rPr>
              <w:t>6</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硕士/博士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天然药物化学、分析化学、药物化学、有机化学相关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南京/连云港</w:t>
            </w:r>
          </w:p>
        </w:tc>
      </w:tr>
      <w:tr w:rsidR="000934DF">
        <w:trPr>
          <w:trHeight w:val="752"/>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药物设计研究员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olor w:val="000000"/>
                <w:sz w:val="24"/>
              </w:rPr>
              <w:t>1</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博士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药物化学、计算化学、药物设计相关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w:t>
            </w:r>
          </w:p>
        </w:tc>
      </w:tr>
      <w:tr w:rsidR="000934DF">
        <w:trPr>
          <w:trHeight w:val="998"/>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生物药分析研究员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olor w:val="000000"/>
                <w:sz w:val="24"/>
              </w:rPr>
              <w:t>2</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硕士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药理学、药物分析、生物药物、生物学、微生物分析、生药学相关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南京/连云港</w:t>
            </w:r>
          </w:p>
        </w:tc>
      </w:tr>
      <w:tr w:rsidR="000934DF">
        <w:trPr>
          <w:trHeight w:val="826"/>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生物药研究员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color w:val="000000"/>
                <w:sz w:val="24"/>
              </w:rPr>
              <w:t>10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硕士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分子生物学、细胞生物学、生物化学、分析化学、免疫学相关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南京/连云港</w:t>
            </w:r>
          </w:p>
        </w:tc>
      </w:tr>
      <w:tr w:rsidR="000934DF">
        <w:trPr>
          <w:trHeight w:val="548"/>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筛选评价研发岗</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10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本科及以上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药学、药物分析学、药代动力学、免疫学、细胞生物学、分子生物学相关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南京</w:t>
            </w:r>
          </w:p>
        </w:tc>
      </w:tr>
      <w:tr w:rsidR="000934DF">
        <w:trPr>
          <w:trHeight w:val="709"/>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临床研究员</w:t>
            </w:r>
            <w:r w:rsidR="0063329D">
              <w:rPr>
                <w:rFonts w:ascii="仿宋" w:eastAsia="仿宋" w:hAnsi="仿宋" w:hint="eastAsia"/>
                <w:color w:val="000000"/>
                <w:sz w:val="24"/>
              </w:rPr>
              <w:t>C</w:t>
            </w:r>
            <w:r w:rsidR="0063329D">
              <w:rPr>
                <w:rFonts w:ascii="仿宋" w:eastAsia="仿宋" w:hAnsi="仿宋"/>
                <w:color w:val="000000"/>
                <w:sz w:val="24"/>
              </w:rPr>
              <w:t>RA</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20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本科及以上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医药相关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全国各地</w:t>
            </w:r>
          </w:p>
        </w:tc>
      </w:tr>
      <w:tr w:rsidR="000934DF">
        <w:trPr>
          <w:trHeight w:val="691"/>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生物统计师</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color w:val="000000"/>
                <w:sz w:val="24"/>
              </w:rPr>
              <w:t>1</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硕士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生物统计专业</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南京</w:t>
            </w:r>
          </w:p>
        </w:tc>
      </w:tr>
      <w:tr w:rsidR="000934DF">
        <w:trPr>
          <w:trHeight w:val="694"/>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制剂研究员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color w:val="000000"/>
                <w:sz w:val="24"/>
              </w:rPr>
              <w:t>2</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硕士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药学、药物制剂相关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连云港</w:t>
            </w:r>
          </w:p>
        </w:tc>
      </w:tr>
      <w:tr w:rsidR="000934DF">
        <w:trPr>
          <w:trHeight w:val="542"/>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kern w:val="0"/>
                <w:sz w:val="24"/>
                <w:lang w:bidi="ar"/>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临床稽查员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color w:val="000000"/>
                <w:sz w:val="24"/>
              </w:rPr>
              <w:t>2</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本科</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医药相关专业</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南京</w:t>
            </w:r>
          </w:p>
        </w:tc>
      </w:tr>
      <w:tr w:rsidR="000934DF">
        <w:trPr>
          <w:trHeight w:val="677"/>
          <w:jc w:val="center"/>
        </w:trPr>
        <w:tc>
          <w:tcPr>
            <w:tcW w:w="1008" w:type="dxa"/>
            <w:vMerge w:val="restart"/>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s="微软雅黑" w:hint="eastAsia"/>
                <w:kern w:val="0"/>
                <w:sz w:val="24"/>
                <w:lang w:bidi="ar"/>
              </w:rPr>
              <w:t>行销系统</w:t>
            </w: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学术专员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200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本科</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医学、药学、生物相关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全国各地</w:t>
            </w:r>
          </w:p>
        </w:tc>
      </w:tr>
      <w:tr w:rsidR="000934DF">
        <w:trPr>
          <w:trHeight w:val="557"/>
          <w:jc w:val="center"/>
        </w:trPr>
        <w:tc>
          <w:tcPr>
            <w:tcW w:w="1008" w:type="dxa"/>
            <w:vMerge/>
            <w:shd w:val="clear" w:color="auto" w:fill="auto"/>
            <w:tcMar>
              <w:top w:w="15" w:type="dxa"/>
              <w:left w:w="15" w:type="dxa"/>
              <w:right w:w="15" w:type="dxa"/>
            </w:tcMar>
            <w:vAlign w:val="center"/>
          </w:tcPr>
          <w:p w:rsidR="000934DF" w:rsidRDefault="000934DF">
            <w:pPr>
              <w:jc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区域产品专员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olor w:val="000000"/>
                <w:sz w:val="24"/>
              </w:rPr>
              <w:t>5</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硕士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医学、药学、生物相关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全国各地</w:t>
            </w:r>
          </w:p>
        </w:tc>
      </w:tr>
      <w:tr w:rsidR="000934DF">
        <w:trPr>
          <w:trHeight w:val="537"/>
          <w:jc w:val="center"/>
        </w:trPr>
        <w:tc>
          <w:tcPr>
            <w:tcW w:w="1008" w:type="dxa"/>
            <w:vMerge/>
            <w:shd w:val="clear" w:color="auto" w:fill="auto"/>
            <w:tcMar>
              <w:top w:w="15" w:type="dxa"/>
              <w:left w:w="15" w:type="dxa"/>
              <w:right w:w="15" w:type="dxa"/>
            </w:tcMar>
            <w:vAlign w:val="center"/>
          </w:tcPr>
          <w:p w:rsidR="000934DF" w:rsidRDefault="000934DF">
            <w:pPr>
              <w:jc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渠道商业代表</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30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本科</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计算机、财会、物流相关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全国各地</w:t>
            </w:r>
          </w:p>
        </w:tc>
      </w:tr>
      <w:tr w:rsidR="000934DF">
        <w:trPr>
          <w:trHeight w:val="545"/>
          <w:jc w:val="center"/>
        </w:trPr>
        <w:tc>
          <w:tcPr>
            <w:tcW w:w="1008" w:type="dxa"/>
            <w:vMerge/>
            <w:shd w:val="clear" w:color="auto" w:fill="auto"/>
            <w:tcMar>
              <w:top w:w="15" w:type="dxa"/>
              <w:left w:w="15" w:type="dxa"/>
              <w:right w:w="15" w:type="dxa"/>
            </w:tcMar>
            <w:vAlign w:val="center"/>
          </w:tcPr>
          <w:p w:rsidR="000934DF" w:rsidRDefault="000934DF">
            <w:pPr>
              <w:jc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渠道连锁KA代表</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olor w:val="000000"/>
                <w:sz w:val="24"/>
              </w:rPr>
              <w:t>3</w:t>
            </w:r>
            <w:r>
              <w:rPr>
                <w:rFonts w:ascii="仿宋" w:eastAsia="仿宋" w:hAnsi="仿宋" w:hint="eastAsia"/>
                <w:color w:val="000000"/>
                <w:sz w:val="24"/>
              </w:rPr>
              <w:t>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本科</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医学、药学、生物相关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全国各地</w:t>
            </w:r>
          </w:p>
        </w:tc>
      </w:tr>
      <w:tr w:rsidR="000934DF">
        <w:trPr>
          <w:trHeight w:val="410"/>
          <w:jc w:val="center"/>
        </w:trPr>
        <w:tc>
          <w:tcPr>
            <w:tcW w:w="1008" w:type="dxa"/>
            <w:vMerge w:val="restart"/>
            <w:shd w:val="clear" w:color="auto" w:fill="auto"/>
            <w:tcMar>
              <w:top w:w="15" w:type="dxa"/>
              <w:left w:w="15" w:type="dxa"/>
              <w:right w:w="15" w:type="dxa"/>
            </w:tcMar>
            <w:vAlign w:val="center"/>
          </w:tcPr>
          <w:p w:rsidR="000934DF" w:rsidRDefault="005049C4">
            <w:pPr>
              <w:jc w:val="center"/>
              <w:textAlignment w:val="center"/>
              <w:rPr>
                <w:rFonts w:ascii="仿宋" w:eastAsia="仿宋" w:hAnsi="仿宋" w:cs="微软雅黑"/>
                <w:kern w:val="0"/>
                <w:sz w:val="24"/>
                <w:lang w:bidi="ar"/>
              </w:rPr>
            </w:pPr>
            <w:r>
              <w:rPr>
                <w:rFonts w:ascii="仿宋" w:eastAsia="仿宋" w:hAnsi="仿宋" w:cs="微软雅黑" w:hint="eastAsia"/>
                <w:kern w:val="0"/>
                <w:sz w:val="24"/>
                <w:lang w:bidi="ar"/>
              </w:rPr>
              <w:t>职能系统</w:t>
            </w: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安全医生</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本科及以上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临床医学</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南京</w:t>
            </w:r>
          </w:p>
        </w:tc>
      </w:tr>
      <w:tr w:rsidR="000934DF">
        <w:trPr>
          <w:trHeight w:val="614"/>
          <w:jc w:val="center"/>
        </w:trPr>
        <w:tc>
          <w:tcPr>
            <w:tcW w:w="1008" w:type="dxa"/>
            <w:vMerge/>
            <w:shd w:val="clear" w:color="auto" w:fill="auto"/>
            <w:tcMar>
              <w:top w:w="15" w:type="dxa"/>
              <w:left w:w="15" w:type="dxa"/>
              <w:right w:w="15" w:type="dxa"/>
            </w:tcMar>
            <w:vAlign w:val="center"/>
          </w:tcPr>
          <w:p w:rsidR="000934DF" w:rsidRDefault="000934DF">
            <w:pPr>
              <w:widowControl/>
              <w:jc w:val="center"/>
              <w:textAlignment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药物警戒专员</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olor w:val="000000"/>
                <w:sz w:val="24"/>
              </w:rPr>
              <w:t>2</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本科及以上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医学、药学、流行病学相关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南京</w:t>
            </w:r>
          </w:p>
        </w:tc>
      </w:tr>
      <w:tr w:rsidR="000934DF">
        <w:trPr>
          <w:trHeight w:val="530"/>
          <w:jc w:val="center"/>
        </w:trPr>
        <w:tc>
          <w:tcPr>
            <w:tcW w:w="1008" w:type="dxa"/>
            <w:vMerge/>
            <w:shd w:val="clear" w:color="auto" w:fill="auto"/>
            <w:tcMar>
              <w:top w:w="15" w:type="dxa"/>
              <w:left w:w="15" w:type="dxa"/>
              <w:right w:w="15" w:type="dxa"/>
            </w:tcMar>
            <w:vAlign w:val="center"/>
          </w:tcPr>
          <w:p w:rsidR="000934DF" w:rsidRDefault="000934DF">
            <w:pPr>
              <w:jc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政策事务岗</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olor w:val="000000"/>
                <w:sz w:val="24"/>
              </w:rPr>
              <w:t>1</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硕士</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药学相关专业</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南京</w:t>
            </w:r>
          </w:p>
        </w:tc>
      </w:tr>
      <w:tr w:rsidR="000934DF">
        <w:trPr>
          <w:trHeight w:val="675"/>
          <w:jc w:val="center"/>
        </w:trPr>
        <w:tc>
          <w:tcPr>
            <w:tcW w:w="1008" w:type="dxa"/>
            <w:vMerge w:val="restart"/>
            <w:shd w:val="clear" w:color="auto" w:fill="auto"/>
            <w:tcMar>
              <w:top w:w="15" w:type="dxa"/>
              <w:left w:w="15" w:type="dxa"/>
              <w:right w:w="15" w:type="dxa"/>
            </w:tcMar>
            <w:vAlign w:val="center"/>
          </w:tcPr>
          <w:p w:rsidR="000934DF" w:rsidRDefault="005049C4">
            <w:pPr>
              <w:jc w:val="center"/>
              <w:rPr>
                <w:rFonts w:ascii="仿宋" w:eastAsia="仿宋" w:hAnsi="仿宋" w:cs="微软雅黑"/>
                <w:sz w:val="24"/>
              </w:rPr>
            </w:pPr>
            <w:r>
              <w:rPr>
                <w:rFonts w:ascii="仿宋" w:eastAsia="仿宋" w:hAnsi="仿宋" w:cs="微软雅黑"/>
                <w:sz w:val="24"/>
              </w:rPr>
              <w:t>生产系统</w:t>
            </w: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制剂生产</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olor w:val="000000"/>
                <w:sz w:val="24"/>
              </w:rPr>
              <w:t>50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大专及以上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药学、生物、机电一体化相关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南京/连云港</w:t>
            </w:r>
          </w:p>
        </w:tc>
      </w:tr>
      <w:tr w:rsidR="000934DF">
        <w:trPr>
          <w:trHeight w:val="543"/>
          <w:jc w:val="center"/>
        </w:trPr>
        <w:tc>
          <w:tcPr>
            <w:tcW w:w="1008" w:type="dxa"/>
            <w:vMerge/>
            <w:shd w:val="clear" w:color="auto" w:fill="auto"/>
            <w:tcMar>
              <w:top w:w="15" w:type="dxa"/>
              <w:left w:w="15" w:type="dxa"/>
              <w:right w:w="15" w:type="dxa"/>
            </w:tcMar>
            <w:vAlign w:val="center"/>
          </w:tcPr>
          <w:p w:rsidR="000934DF" w:rsidRDefault="000934DF">
            <w:pPr>
              <w:jc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设备/维修工程师</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color w:val="000000"/>
                <w:sz w:val="24"/>
              </w:rPr>
              <w:t>10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本科</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机电、电气及自动化相关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南京/连云港</w:t>
            </w:r>
          </w:p>
        </w:tc>
      </w:tr>
      <w:tr w:rsidR="000934DF">
        <w:trPr>
          <w:trHeight w:val="753"/>
          <w:jc w:val="center"/>
        </w:trPr>
        <w:tc>
          <w:tcPr>
            <w:tcW w:w="1008" w:type="dxa"/>
            <w:vMerge/>
            <w:shd w:val="clear" w:color="auto" w:fill="auto"/>
            <w:tcMar>
              <w:top w:w="15" w:type="dxa"/>
              <w:left w:w="15" w:type="dxa"/>
              <w:right w:w="15" w:type="dxa"/>
            </w:tcMar>
            <w:vAlign w:val="center"/>
          </w:tcPr>
          <w:p w:rsidR="000934DF" w:rsidRDefault="000934DF">
            <w:pPr>
              <w:jc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细胞培养/</w:t>
            </w:r>
          </w:p>
          <w:p w:rsidR="000934DF" w:rsidRDefault="005049C4">
            <w:pPr>
              <w:widowControl/>
              <w:jc w:val="center"/>
              <w:textAlignment w:val="center"/>
              <w:rPr>
                <w:rFonts w:ascii="仿宋" w:eastAsia="仿宋" w:hAnsi="仿宋"/>
                <w:color w:val="000000"/>
                <w:sz w:val="24"/>
              </w:rPr>
            </w:pPr>
            <w:r>
              <w:rPr>
                <w:rFonts w:ascii="仿宋" w:eastAsia="仿宋" w:hAnsi="仿宋" w:hint="eastAsia"/>
                <w:color w:val="000000"/>
                <w:sz w:val="24"/>
              </w:rPr>
              <w:t>分离纯化工程师</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20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本科</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生物、药学相关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kern w:val="0"/>
                <w:sz w:val="24"/>
                <w:lang w:bidi="ar"/>
              </w:rPr>
            </w:pPr>
            <w:r>
              <w:rPr>
                <w:rFonts w:ascii="仿宋" w:eastAsia="仿宋" w:hAnsi="仿宋" w:hint="eastAsia"/>
                <w:color w:val="000000"/>
                <w:sz w:val="24"/>
              </w:rPr>
              <w:t>南京</w:t>
            </w:r>
          </w:p>
        </w:tc>
      </w:tr>
      <w:tr w:rsidR="000934DF">
        <w:trPr>
          <w:trHeight w:val="593"/>
          <w:jc w:val="center"/>
        </w:trPr>
        <w:tc>
          <w:tcPr>
            <w:tcW w:w="1008" w:type="dxa"/>
            <w:vMerge w:val="restart"/>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s="微软雅黑" w:hint="eastAsia"/>
                <w:kern w:val="0"/>
                <w:sz w:val="24"/>
                <w:lang w:bidi="ar"/>
              </w:rPr>
              <w:t>质量系统</w:t>
            </w: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QA</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olor w:val="000000"/>
                <w:sz w:val="24"/>
              </w:rPr>
              <w:t>20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本科</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药学、生物、化学相关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南京/连云港</w:t>
            </w:r>
          </w:p>
        </w:tc>
      </w:tr>
      <w:tr w:rsidR="000934DF">
        <w:trPr>
          <w:trHeight w:val="641"/>
          <w:jc w:val="center"/>
        </w:trPr>
        <w:tc>
          <w:tcPr>
            <w:tcW w:w="1008" w:type="dxa"/>
            <w:vMerge/>
            <w:shd w:val="clear" w:color="auto" w:fill="auto"/>
            <w:tcMar>
              <w:top w:w="15" w:type="dxa"/>
              <w:left w:w="15" w:type="dxa"/>
              <w:right w:w="15" w:type="dxa"/>
            </w:tcMar>
            <w:vAlign w:val="center"/>
          </w:tcPr>
          <w:p w:rsidR="000934DF" w:rsidRDefault="000934DF">
            <w:pPr>
              <w:jc w:val="center"/>
              <w:rPr>
                <w:rFonts w:ascii="仿宋" w:eastAsia="仿宋" w:hAnsi="仿宋" w:cs="微软雅黑"/>
                <w:sz w:val="24"/>
              </w:rPr>
            </w:pPr>
          </w:p>
        </w:tc>
        <w:tc>
          <w:tcPr>
            <w:tcW w:w="183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QC</w:t>
            </w:r>
          </w:p>
        </w:tc>
        <w:tc>
          <w:tcPr>
            <w:tcW w:w="769"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color w:val="000000"/>
                <w:sz w:val="24"/>
              </w:rPr>
              <w:t>20</w:t>
            </w:r>
          </w:p>
        </w:tc>
        <w:tc>
          <w:tcPr>
            <w:tcW w:w="1641"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大专及以上</w:t>
            </w:r>
          </w:p>
        </w:tc>
        <w:tc>
          <w:tcPr>
            <w:tcW w:w="3462"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药学、生物、化学相关</w:t>
            </w:r>
          </w:p>
        </w:tc>
        <w:tc>
          <w:tcPr>
            <w:tcW w:w="1417" w:type="dxa"/>
            <w:shd w:val="clear" w:color="auto" w:fill="auto"/>
            <w:tcMar>
              <w:top w:w="15" w:type="dxa"/>
              <w:left w:w="15" w:type="dxa"/>
              <w:right w:w="15" w:type="dxa"/>
            </w:tcMar>
            <w:vAlign w:val="center"/>
          </w:tcPr>
          <w:p w:rsidR="000934DF" w:rsidRDefault="005049C4">
            <w:pPr>
              <w:widowControl/>
              <w:jc w:val="center"/>
              <w:textAlignment w:val="center"/>
              <w:rPr>
                <w:rFonts w:ascii="仿宋" w:eastAsia="仿宋" w:hAnsi="仿宋" w:cs="微软雅黑"/>
                <w:sz w:val="24"/>
              </w:rPr>
            </w:pPr>
            <w:r>
              <w:rPr>
                <w:rFonts w:ascii="仿宋" w:eastAsia="仿宋" w:hAnsi="仿宋" w:hint="eastAsia"/>
                <w:color w:val="000000"/>
                <w:sz w:val="24"/>
              </w:rPr>
              <w:t>南京/连云港</w:t>
            </w:r>
          </w:p>
        </w:tc>
      </w:tr>
    </w:tbl>
    <w:p w:rsidR="000934DF" w:rsidRDefault="000934DF">
      <w:pPr>
        <w:spacing w:line="360" w:lineRule="auto"/>
        <w:jc w:val="left"/>
        <w:rPr>
          <w:rFonts w:ascii="黑体" w:eastAsia="黑体" w:hAnsi="黑体"/>
          <w:b/>
          <w:sz w:val="28"/>
          <w:szCs w:val="28"/>
        </w:rPr>
      </w:pPr>
    </w:p>
    <w:p w:rsidR="000934DF" w:rsidRDefault="000934DF">
      <w:pPr>
        <w:spacing w:line="360" w:lineRule="auto"/>
        <w:jc w:val="left"/>
        <w:rPr>
          <w:rFonts w:ascii="黑体" w:eastAsia="黑体" w:hAnsi="黑体"/>
          <w:b/>
          <w:sz w:val="28"/>
          <w:szCs w:val="28"/>
        </w:rPr>
      </w:pPr>
    </w:p>
    <w:p w:rsidR="000934DF" w:rsidRDefault="000934DF">
      <w:pPr>
        <w:spacing w:line="360" w:lineRule="auto"/>
        <w:jc w:val="left"/>
        <w:rPr>
          <w:rFonts w:ascii="黑体" w:eastAsia="黑体" w:hAnsi="黑体"/>
          <w:b/>
          <w:sz w:val="28"/>
          <w:szCs w:val="28"/>
        </w:rPr>
      </w:pPr>
    </w:p>
    <w:p w:rsidR="000934DF" w:rsidRDefault="000934DF">
      <w:pPr>
        <w:spacing w:line="360" w:lineRule="auto"/>
        <w:jc w:val="left"/>
        <w:rPr>
          <w:rFonts w:ascii="黑体" w:eastAsia="黑体" w:hAnsi="黑体"/>
          <w:b/>
          <w:sz w:val="28"/>
          <w:szCs w:val="28"/>
        </w:rPr>
      </w:pPr>
    </w:p>
    <w:p w:rsidR="000934DF" w:rsidRDefault="000934DF">
      <w:pPr>
        <w:spacing w:line="360" w:lineRule="auto"/>
        <w:jc w:val="left"/>
        <w:rPr>
          <w:rFonts w:ascii="黑体" w:eastAsia="黑体" w:hAnsi="黑体"/>
          <w:b/>
          <w:sz w:val="28"/>
          <w:szCs w:val="28"/>
        </w:rPr>
      </w:pPr>
    </w:p>
    <w:p w:rsidR="000934DF" w:rsidRDefault="005049C4">
      <w:pPr>
        <w:spacing w:line="360" w:lineRule="auto"/>
        <w:jc w:val="left"/>
        <w:rPr>
          <w:rFonts w:ascii="黑体" w:eastAsia="黑体" w:hAnsi="黑体"/>
          <w:b/>
          <w:sz w:val="28"/>
          <w:szCs w:val="28"/>
        </w:rPr>
      </w:pPr>
      <w:r>
        <w:rPr>
          <w:rFonts w:ascii="黑体" w:eastAsia="黑体" w:hAnsi="黑体" w:hint="eastAsia"/>
          <w:b/>
          <w:sz w:val="28"/>
          <w:szCs w:val="28"/>
        </w:rPr>
        <w:t>三、投递渠道</w:t>
      </w:r>
    </w:p>
    <w:p w:rsidR="000934DF" w:rsidRDefault="000934DF">
      <w:pPr>
        <w:spacing w:line="360" w:lineRule="auto"/>
        <w:jc w:val="left"/>
        <w:rPr>
          <w:rFonts w:ascii="黑体" w:eastAsia="黑体" w:hAnsi="黑体"/>
          <w:b/>
          <w:sz w:val="36"/>
          <w:szCs w:val="36"/>
        </w:rPr>
      </w:pPr>
    </w:p>
    <w:p w:rsidR="000934DF" w:rsidRDefault="005049C4">
      <w:pPr>
        <w:spacing w:line="360" w:lineRule="auto"/>
        <w:rPr>
          <w:rFonts w:ascii="黑体" w:eastAsia="黑体" w:hAnsi="黑体"/>
          <w:b/>
          <w:sz w:val="28"/>
          <w:szCs w:val="28"/>
        </w:rPr>
      </w:pPr>
      <w:r>
        <w:rPr>
          <w:rFonts w:ascii="仿宋" w:eastAsia="仿宋" w:hAnsi="仿宋"/>
          <w:b/>
          <w:noProof/>
          <w:sz w:val="28"/>
          <w:szCs w:val="28"/>
        </w:rPr>
        <w:drawing>
          <wp:anchor distT="0" distB="0" distL="114300" distR="114300" simplePos="0" relativeHeight="251667456" behindDoc="1" locked="0" layoutInCell="1" allowOverlap="1">
            <wp:simplePos x="0" y="0"/>
            <wp:positionH relativeFrom="margin">
              <wp:posOffset>-635</wp:posOffset>
            </wp:positionH>
            <wp:positionV relativeFrom="paragraph">
              <wp:posOffset>200025</wp:posOffset>
            </wp:positionV>
            <wp:extent cx="1561465" cy="1561465"/>
            <wp:effectExtent l="0" t="0" r="635" b="635"/>
            <wp:wrapThrough wrapText="bothSides">
              <wp:wrapPolygon edited="0">
                <wp:start x="0" y="0"/>
                <wp:lineTo x="0" y="21345"/>
                <wp:lineTo x="21345" y="21345"/>
                <wp:lineTo x="21345" y="0"/>
                <wp:lineTo x="0" y="0"/>
              </wp:wrapPolygon>
            </wp:wrapThrough>
            <wp:docPr id="2" name="图片 2" descr="E:\天晴\5-公司执照及财务信息\集团\qrcode_for_gh_19279d8ac477_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天晴\5-公司执照及财务信息\集团\qrcode_for_gh_19279d8ac477_8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61465" cy="1561465"/>
                    </a:xfrm>
                    <a:prstGeom prst="rect">
                      <a:avLst/>
                    </a:prstGeom>
                    <a:noFill/>
                    <a:ln>
                      <a:noFill/>
                    </a:ln>
                  </pic:spPr>
                </pic:pic>
              </a:graphicData>
            </a:graphic>
          </wp:anchor>
        </w:drawing>
      </w:r>
      <w:r>
        <w:rPr>
          <w:rFonts w:ascii="仿宋" w:eastAsia="仿宋" w:hAnsi="仿宋" w:hint="eastAsia"/>
          <w:b/>
          <w:sz w:val="28"/>
          <w:szCs w:val="28"/>
        </w:rPr>
        <w:t>官方</w:t>
      </w:r>
      <w:r>
        <w:rPr>
          <w:rFonts w:ascii="仿宋" w:eastAsia="仿宋" w:hAnsi="仿宋"/>
          <w:b/>
          <w:sz w:val="28"/>
          <w:szCs w:val="28"/>
        </w:rPr>
        <w:t>微信：</w:t>
      </w:r>
      <w:r>
        <w:rPr>
          <w:rFonts w:ascii="仿宋" w:eastAsia="仿宋" w:hAnsi="仿宋" w:hint="eastAsia"/>
          <w:b/>
          <w:sz w:val="28"/>
          <w:szCs w:val="28"/>
        </w:rPr>
        <w:t>正大天晴</w:t>
      </w:r>
      <w:r>
        <w:rPr>
          <w:rFonts w:ascii="仿宋" w:eastAsia="仿宋" w:hAnsi="仿宋"/>
          <w:b/>
          <w:sz w:val="28"/>
          <w:szCs w:val="28"/>
        </w:rPr>
        <w:t>招聘或</w:t>
      </w:r>
      <w:r>
        <w:rPr>
          <w:rFonts w:ascii="仿宋" w:eastAsia="仿宋" w:hAnsi="仿宋" w:hint="eastAsia"/>
          <w:b/>
          <w:sz w:val="28"/>
          <w:szCs w:val="28"/>
        </w:rPr>
        <w:t>cttq</w:t>
      </w:r>
      <w:r>
        <w:rPr>
          <w:rFonts w:ascii="仿宋" w:eastAsia="仿宋" w:hAnsi="仿宋"/>
          <w:b/>
          <w:sz w:val="28"/>
          <w:szCs w:val="28"/>
        </w:rPr>
        <w:t>careers</w:t>
      </w:r>
      <w:r>
        <w:rPr>
          <w:rFonts w:ascii="仿宋" w:eastAsia="仿宋" w:hAnsi="仿宋" w:hint="eastAsia"/>
          <w:b/>
          <w:sz w:val="28"/>
          <w:szCs w:val="28"/>
        </w:rPr>
        <w:t>（首选）</w:t>
      </w:r>
    </w:p>
    <w:p w:rsidR="000934DF" w:rsidRDefault="005049C4">
      <w:pPr>
        <w:widowControl/>
        <w:jc w:val="left"/>
        <w:rPr>
          <w:rFonts w:ascii="仿宋" w:eastAsia="仿宋" w:hAnsi="仿宋"/>
          <w:b/>
          <w:sz w:val="28"/>
          <w:szCs w:val="28"/>
        </w:rPr>
      </w:pPr>
      <w:r>
        <w:rPr>
          <w:rFonts w:ascii="仿宋" w:eastAsia="仿宋" w:hAnsi="仿宋" w:hint="eastAsia"/>
          <w:b/>
          <w:sz w:val="28"/>
          <w:szCs w:val="28"/>
        </w:rPr>
        <w:t xml:space="preserve">企业官网：http://www.cttq.com </w:t>
      </w:r>
    </w:p>
    <w:p w:rsidR="000934DF" w:rsidRDefault="005049C4">
      <w:pPr>
        <w:widowControl/>
        <w:jc w:val="left"/>
        <w:rPr>
          <w:rFonts w:ascii="仿宋" w:eastAsia="仿宋" w:hAnsi="仿宋"/>
          <w:b/>
          <w:sz w:val="28"/>
          <w:szCs w:val="28"/>
        </w:rPr>
      </w:pPr>
      <w:r>
        <w:rPr>
          <w:rFonts w:ascii="仿宋" w:eastAsia="仿宋" w:hAnsi="仿宋" w:hint="eastAsia"/>
          <w:b/>
          <w:sz w:val="28"/>
          <w:szCs w:val="28"/>
        </w:rPr>
        <w:t>正大天晴招聘主页：</w:t>
      </w:r>
      <w:hyperlink r:id="rId10" w:history="1">
        <w:r>
          <w:rPr>
            <w:rStyle w:val="a7"/>
            <w:rFonts w:ascii="仿宋" w:eastAsia="仿宋" w:hAnsi="仿宋" w:hint="eastAsia"/>
            <w:b/>
            <w:sz w:val="28"/>
            <w:szCs w:val="28"/>
          </w:rPr>
          <w:t>http://cttq.zhiye.com/</w:t>
        </w:r>
      </w:hyperlink>
    </w:p>
    <w:bookmarkEnd w:id="0"/>
    <w:p w:rsidR="000934DF" w:rsidRPr="00AD73AB" w:rsidRDefault="00AD73AB">
      <w:pPr>
        <w:spacing w:line="360" w:lineRule="auto"/>
        <w:rPr>
          <w:rFonts w:ascii="仿宋" w:eastAsia="仿宋" w:hAnsi="仿宋"/>
          <w:b/>
          <w:sz w:val="28"/>
          <w:szCs w:val="28"/>
        </w:rPr>
      </w:pPr>
      <w:r w:rsidRPr="00AD73AB">
        <w:rPr>
          <w:rFonts w:ascii="仿宋" w:eastAsia="仿宋" w:hAnsi="仿宋" w:hint="eastAsia"/>
          <w:b/>
          <w:sz w:val="28"/>
          <w:szCs w:val="28"/>
        </w:rPr>
        <w:t>招聘经</w:t>
      </w:r>
      <w:bookmarkStart w:id="1" w:name="_GoBack"/>
      <w:bookmarkEnd w:id="1"/>
      <w:r w:rsidRPr="00AD73AB">
        <w:rPr>
          <w:rFonts w:ascii="仿宋" w:eastAsia="仿宋" w:hAnsi="仿宋" w:hint="eastAsia"/>
          <w:b/>
          <w:sz w:val="28"/>
          <w:szCs w:val="28"/>
        </w:rPr>
        <w:t xml:space="preserve">理：邓薇 </w:t>
      </w:r>
      <w:r w:rsidRPr="00AD73AB">
        <w:rPr>
          <w:rFonts w:ascii="仿宋" w:eastAsia="仿宋" w:hAnsi="仿宋"/>
          <w:b/>
          <w:sz w:val="28"/>
          <w:szCs w:val="28"/>
        </w:rPr>
        <w:t xml:space="preserve"> 13019307619</w:t>
      </w:r>
    </w:p>
    <w:sectPr w:rsidR="000934DF" w:rsidRPr="00AD73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5D" w:rsidRDefault="003C075D" w:rsidP="0063329D">
      <w:r>
        <w:separator/>
      </w:r>
    </w:p>
  </w:endnote>
  <w:endnote w:type="continuationSeparator" w:id="0">
    <w:p w:rsidR="003C075D" w:rsidRDefault="003C075D" w:rsidP="0063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仿宋_GBK">
    <w:altName w:val="Arial Unicode MS"/>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汉仪仿宋KW"/>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5D" w:rsidRDefault="003C075D" w:rsidP="0063329D">
      <w:r>
        <w:separator/>
      </w:r>
    </w:p>
  </w:footnote>
  <w:footnote w:type="continuationSeparator" w:id="0">
    <w:p w:rsidR="003C075D" w:rsidRDefault="003C075D" w:rsidP="00633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97872E"/>
    <w:multiLevelType w:val="singleLevel"/>
    <w:tmpl w:val="5B97872E"/>
    <w:lvl w:ilvl="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751"/>
    <w:rsid w:val="FFFFE066"/>
    <w:rsid w:val="00063B5A"/>
    <w:rsid w:val="000934DF"/>
    <w:rsid w:val="000A370F"/>
    <w:rsid w:val="000E1751"/>
    <w:rsid w:val="000F1BAB"/>
    <w:rsid w:val="00197D2D"/>
    <w:rsid w:val="001C2C75"/>
    <w:rsid w:val="00262FCF"/>
    <w:rsid w:val="002A0C17"/>
    <w:rsid w:val="00361926"/>
    <w:rsid w:val="00390F02"/>
    <w:rsid w:val="003C075D"/>
    <w:rsid w:val="003D170F"/>
    <w:rsid w:val="00442C2D"/>
    <w:rsid w:val="005049C4"/>
    <w:rsid w:val="00551A3F"/>
    <w:rsid w:val="005C24AC"/>
    <w:rsid w:val="0063329D"/>
    <w:rsid w:val="006F6142"/>
    <w:rsid w:val="00724F42"/>
    <w:rsid w:val="00730895"/>
    <w:rsid w:val="0078785E"/>
    <w:rsid w:val="007E1B31"/>
    <w:rsid w:val="008A73F0"/>
    <w:rsid w:val="008D51FD"/>
    <w:rsid w:val="008F5E1B"/>
    <w:rsid w:val="00900C5F"/>
    <w:rsid w:val="0096397D"/>
    <w:rsid w:val="009E1C19"/>
    <w:rsid w:val="00AD73AB"/>
    <w:rsid w:val="00B209F9"/>
    <w:rsid w:val="00B75E65"/>
    <w:rsid w:val="00BE5ECB"/>
    <w:rsid w:val="00BE7C88"/>
    <w:rsid w:val="00BF0AF4"/>
    <w:rsid w:val="00C07A3D"/>
    <w:rsid w:val="00C25310"/>
    <w:rsid w:val="00C47969"/>
    <w:rsid w:val="00C535A2"/>
    <w:rsid w:val="00CC6513"/>
    <w:rsid w:val="00CD5B04"/>
    <w:rsid w:val="00D109AB"/>
    <w:rsid w:val="00D348E1"/>
    <w:rsid w:val="00D86D09"/>
    <w:rsid w:val="00DF07A3"/>
    <w:rsid w:val="00E80697"/>
    <w:rsid w:val="00ED1867"/>
    <w:rsid w:val="00EE2F50"/>
    <w:rsid w:val="00F4372B"/>
    <w:rsid w:val="00F45C86"/>
    <w:rsid w:val="00FC12F0"/>
    <w:rsid w:val="00FD59CC"/>
    <w:rsid w:val="00FF0633"/>
    <w:rsid w:val="17F579B2"/>
    <w:rsid w:val="1EEF0D74"/>
    <w:rsid w:val="31D95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3D1C19FB-B565-4004-9673-470A025B9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7">
    <w:name w:val="Hyperlink"/>
    <w:basedOn w:val="a0"/>
    <w:uiPriority w:val="99"/>
    <w:unhideWhenUsed/>
    <w:qFormat/>
    <w:rPr>
      <w:color w:val="0000FF" w:themeColor="hyperlink"/>
      <w:u w:val="single"/>
    </w:rPr>
  </w:style>
  <w:style w:type="paragraph" w:customStyle="1" w:styleId="1">
    <w:name w:val="列出段落1"/>
    <w:basedOn w:val="a"/>
    <w:uiPriority w:val="34"/>
    <w:qFormat/>
    <w:pPr>
      <w:widowControl/>
      <w:ind w:firstLineChars="200" w:firstLine="420"/>
      <w:jc w:val="left"/>
    </w:pPr>
    <w:rPr>
      <w:rFonts w:ascii="宋体" w:hAnsi="宋体" w:cs="宋体"/>
      <w:kern w:val="0"/>
      <w:sz w:val="24"/>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paragraph" w:customStyle="1" w:styleId="11">
    <w:name w:val="列出段落11"/>
    <w:basedOn w:val="a"/>
    <w:uiPriority w:val="99"/>
    <w:qFormat/>
    <w:pPr>
      <w:ind w:firstLineChars="200" w:firstLine="420"/>
    </w:pPr>
    <w:rPr>
      <w:rFonts w:ascii="Calibri" w:hAnsi="Calibri"/>
      <w:szCs w:val="22"/>
    </w:rPr>
  </w:style>
  <w:style w:type="paragraph" w:customStyle="1" w:styleId="CharCharCharCharCharCharCharCharCharCharCharCharChar">
    <w:name w:val="Char Char Char Char Char Char Char Char Char Char Char Char Char"/>
    <w:basedOn w:val="a"/>
    <w:qFormat/>
    <w:rPr>
      <w:rFonts w:eastAsia="方正仿宋_GBK"/>
      <w:snapToGrid w:val="0"/>
      <w:kern w:val="0"/>
      <w:sz w:val="32"/>
      <w:szCs w:val="20"/>
    </w:rPr>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cttq.zhiye.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316</Words>
  <Characters>1806</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liupd</dc:creator>
  <cp:lastModifiedBy>邓薇</cp:lastModifiedBy>
  <cp:revision>5</cp:revision>
  <cp:lastPrinted>2014-11-22T01:11:00Z</cp:lastPrinted>
  <dcterms:created xsi:type="dcterms:W3CDTF">2020-10-09T23:08:00Z</dcterms:created>
  <dcterms:modified xsi:type="dcterms:W3CDTF">2020-10-15T08:57:00Z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